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CDD" w:rsidRDefault="00DF3CDD" w:rsidP="00834DFA">
      <w:pPr>
        <w:bidi/>
        <w:jc w:val="center"/>
        <w:rPr>
          <w:rtl/>
          <w:lang w:bidi="fa-IR"/>
        </w:rPr>
      </w:pPr>
      <w:r>
        <w:rPr>
          <w:rFonts w:hint="cs"/>
          <w:rtl/>
          <w:lang w:bidi="fa-IR"/>
        </w:rPr>
        <w:t>خارج اصول</w:t>
      </w:r>
    </w:p>
    <w:p w:rsidR="00DF3CDD" w:rsidRDefault="00DF3CDD" w:rsidP="00834DFA">
      <w:pPr>
        <w:bidi/>
        <w:jc w:val="center"/>
        <w:rPr>
          <w:rtl/>
          <w:lang w:bidi="fa-IR"/>
        </w:rPr>
      </w:pPr>
      <w:r>
        <w:rPr>
          <w:rFonts w:hint="cs"/>
          <w:rtl/>
          <w:lang w:bidi="fa-IR"/>
        </w:rPr>
        <w:t>جلسه48 * چهارشنبه 27/ 9/ 98</w:t>
      </w:r>
    </w:p>
    <w:p w:rsidR="00DF3CDD" w:rsidRPr="00834DFA" w:rsidRDefault="00DF3CDD" w:rsidP="00834DFA">
      <w:pPr>
        <w:pBdr>
          <w:bottom w:val="single" w:sz="12" w:space="1" w:color="auto"/>
        </w:pBdr>
        <w:bidi/>
        <w:jc w:val="center"/>
        <w:rPr>
          <w:color w:val="FF0000"/>
          <w:rtl/>
          <w:lang w:bidi="fa-IR"/>
        </w:rPr>
      </w:pPr>
      <w:r w:rsidRPr="00834DFA">
        <w:rPr>
          <w:rFonts w:hint="cs"/>
          <w:color w:val="FF0000"/>
          <w:rtl/>
          <w:lang w:bidi="fa-IR"/>
        </w:rPr>
        <w:t>موضوع: اقسام واجب</w:t>
      </w:r>
    </w:p>
    <w:p w:rsidR="006A4C8A" w:rsidRDefault="0006098D" w:rsidP="00DF3CDD">
      <w:pPr>
        <w:bidi/>
        <w:rPr>
          <w:rtl/>
          <w:lang w:bidi="fa-IR"/>
        </w:rPr>
      </w:pPr>
      <w:r>
        <w:rPr>
          <w:rFonts w:hint="cs"/>
          <w:rtl/>
          <w:lang w:bidi="fa-IR"/>
        </w:rPr>
        <w:t xml:space="preserve">تحقیق و </w:t>
      </w:r>
      <w:r w:rsidR="00F615B3">
        <w:rPr>
          <w:rFonts w:hint="cs"/>
          <w:rtl/>
          <w:lang w:bidi="fa-IR"/>
        </w:rPr>
        <w:t>جمع بندی</w:t>
      </w:r>
      <w:r>
        <w:rPr>
          <w:rFonts w:hint="cs"/>
          <w:rtl/>
          <w:lang w:bidi="fa-IR"/>
        </w:rPr>
        <w:t xml:space="preserve"> مطالب گذشته</w:t>
      </w:r>
    </w:p>
    <w:p w:rsidR="00F615B3" w:rsidRDefault="00F615B3" w:rsidP="00B57E73">
      <w:pPr>
        <w:bidi/>
        <w:rPr>
          <w:rtl/>
          <w:lang w:bidi="fa-IR"/>
        </w:rPr>
      </w:pPr>
      <w:r>
        <w:rPr>
          <w:rFonts w:hint="cs"/>
          <w:rtl/>
          <w:lang w:bidi="fa-IR"/>
        </w:rPr>
        <w:t xml:space="preserve">اگر </w:t>
      </w:r>
      <w:r w:rsidR="0006098D">
        <w:rPr>
          <w:rFonts w:hint="cs"/>
          <w:rtl/>
          <w:lang w:bidi="fa-IR"/>
        </w:rPr>
        <w:t>استحباب طهارات ثلاث</w:t>
      </w:r>
      <w:r>
        <w:rPr>
          <w:rFonts w:hint="cs"/>
          <w:rtl/>
          <w:lang w:bidi="fa-IR"/>
        </w:rPr>
        <w:t xml:space="preserve"> در هر سه قسم</w:t>
      </w:r>
      <w:r w:rsidR="00B57E73">
        <w:rPr>
          <w:rFonts w:hint="cs"/>
          <w:rtl/>
          <w:lang w:bidi="fa-IR"/>
        </w:rPr>
        <w:t xml:space="preserve"> آن</w:t>
      </w:r>
      <w:r>
        <w:rPr>
          <w:rFonts w:hint="cs"/>
          <w:rtl/>
          <w:lang w:bidi="fa-IR"/>
        </w:rPr>
        <w:t xml:space="preserve"> حتی تیم</w:t>
      </w:r>
      <w:r w:rsidR="00834DFA">
        <w:rPr>
          <w:rFonts w:hint="cs"/>
          <w:rtl/>
          <w:lang w:bidi="fa-IR"/>
        </w:rPr>
        <w:t>ّ</w:t>
      </w:r>
      <w:r>
        <w:rPr>
          <w:rFonts w:hint="cs"/>
          <w:rtl/>
          <w:lang w:bidi="fa-IR"/>
        </w:rPr>
        <w:t>م</w:t>
      </w:r>
      <w:r w:rsidR="0006098D">
        <w:rPr>
          <w:rFonts w:hint="cs"/>
          <w:rtl/>
          <w:lang w:bidi="fa-IR"/>
        </w:rPr>
        <w:t>،</w:t>
      </w:r>
      <w:r>
        <w:rPr>
          <w:rFonts w:hint="cs"/>
          <w:rtl/>
          <w:lang w:bidi="fa-IR"/>
        </w:rPr>
        <w:t xml:space="preserve"> بعنوان استحباب نفسی ثابت شود</w:t>
      </w:r>
      <w:r w:rsidR="0006098D">
        <w:rPr>
          <w:rFonts w:hint="cs"/>
          <w:rtl/>
          <w:lang w:bidi="fa-IR"/>
        </w:rPr>
        <w:t xml:space="preserve"> </w:t>
      </w:r>
      <w:r>
        <w:rPr>
          <w:rFonts w:hint="cs"/>
          <w:rtl/>
          <w:lang w:bidi="fa-IR"/>
        </w:rPr>
        <w:t xml:space="preserve">و در </w:t>
      </w:r>
      <w:r w:rsidR="00B57E73">
        <w:rPr>
          <w:rFonts w:hint="cs"/>
          <w:rtl/>
          <w:lang w:bidi="fa-IR"/>
        </w:rPr>
        <w:t xml:space="preserve">مسأله ی </w:t>
      </w:r>
      <w:r>
        <w:rPr>
          <w:rFonts w:hint="cs"/>
          <w:rtl/>
          <w:lang w:bidi="fa-IR"/>
        </w:rPr>
        <w:t>تیم</w:t>
      </w:r>
      <w:r w:rsidR="00834DFA">
        <w:rPr>
          <w:rFonts w:hint="cs"/>
          <w:rtl/>
          <w:lang w:bidi="fa-IR"/>
        </w:rPr>
        <w:t>ّ</w:t>
      </w:r>
      <w:r>
        <w:rPr>
          <w:rFonts w:hint="cs"/>
          <w:rtl/>
          <w:lang w:bidi="fa-IR"/>
        </w:rPr>
        <w:t>م</w:t>
      </w:r>
      <w:r w:rsidR="00B57E73">
        <w:rPr>
          <w:rFonts w:hint="cs"/>
          <w:rtl/>
          <w:lang w:bidi="fa-IR"/>
        </w:rPr>
        <w:t>،</w:t>
      </w:r>
      <w:r>
        <w:rPr>
          <w:rFonts w:hint="cs"/>
          <w:rtl/>
          <w:lang w:bidi="fa-IR"/>
        </w:rPr>
        <w:t xml:space="preserve"> روایت </w:t>
      </w:r>
      <w:r w:rsidR="0006098D">
        <w:rPr>
          <w:rFonts w:hint="cs"/>
          <w:rtl/>
          <w:lang w:bidi="fa-IR"/>
        </w:rPr>
        <w:t>«</w:t>
      </w:r>
      <w:r>
        <w:rPr>
          <w:rFonts w:hint="cs"/>
          <w:rtl/>
          <w:lang w:bidi="fa-IR"/>
        </w:rPr>
        <w:t>التراب یکفیک عشر سنین</w:t>
      </w:r>
      <w:r w:rsidR="0006098D">
        <w:rPr>
          <w:rFonts w:hint="cs"/>
          <w:rtl/>
          <w:lang w:bidi="fa-IR"/>
        </w:rPr>
        <w:t>» را</w:t>
      </w:r>
      <w:r>
        <w:rPr>
          <w:rFonts w:hint="cs"/>
          <w:rtl/>
          <w:lang w:bidi="fa-IR"/>
        </w:rPr>
        <w:t xml:space="preserve"> برای</w:t>
      </w:r>
      <w:r w:rsidR="0006098D">
        <w:rPr>
          <w:rFonts w:hint="cs"/>
          <w:rtl/>
          <w:lang w:bidi="fa-IR"/>
        </w:rPr>
        <w:t xml:space="preserve"> استحباب نفسی</w:t>
      </w:r>
      <w:r w:rsidR="007661DE">
        <w:rPr>
          <w:rFonts w:hint="cs"/>
          <w:rtl/>
          <w:lang w:bidi="fa-IR"/>
        </w:rPr>
        <w:t>ِ</w:t>
      </w:r>
      <w:r w:rsidR="0006098D">
        <w:rPr>
          <w:rFonts w:hint="cs"/>
          <w:rtl/>
          <w:lang w:bidi="fa-IR"/>
        </w:rPr>
        <w:t xml:space="preserve"> تیم</w:t>
      </w:r>
      <w:r w:rsidR="00834DFA">
        <w:rPr>
          <w:rFonts w:hint="cs"/>
          <w:rtl/>
          <w:lang w:bidi="fa-IR"/>
        </w:rPr>
        <w:t>ّ</w:t>
      </w:r>
      <w:r w:rsidR="0006098D">
        <w:rPr>
          <w:rFonts w:hint="cs"/>
          <w:rtl/>
          <w:lang w:bidi="fa-IR"/>
        </w:rPr>
        <w:t>م</w:t>
      </w:r>
      <w:r w:rsidR="00834DFA">
        <w:rPr>
          <w:rFonts w:hint="cs"/>
          <w:rtl/>
          <w:lang w:bidi="fa-IR"/>
        </w:rPr>
        <w:t>،</w:t>
      </w:r>
      <w:r w:rsidR="0006098D">
        <w:rPr>
          <w:rFonts w:hint="cs"/>
          <w:rtl/>
          <w:lang w:bidi="fa-IR"/>
        </w:rPr>
        <w:t xml:space="preserve"> کافی </w:t>
      </w:r>
      <w:r w:rsidR="00B57E73">
        <w:rPr>
          <w:rFonts w:hint="cs"/>
          <w:rtl/>
          <w:lang w:bidi="fa-IR"/>
        </w:rPr>
        <w:t>بدانیم،</w:t>
      </w:r>
      <w:r w:rsidR="0006098D">
        <w:rPr>
          <w:rFonts w:hint="cs"/>
          <w:rtl/>
          <w:lang w:bidi="fa-IR"/>
        </w:rPr>
        <w:t xml:space="preserve"> ا</w:t>
      </w:r>
      <w:r>
        <w:rPr>
          <w:rFonts w:hint="cs"/>
          <w:rtl/>
          <w:lang w:bidi="fa-IR"/>
        </w:rPr>
        <w:t>شکال مذکور</w:t>
      </w:r>
      <w:r w:rsidR="0006098D">
        <w:rPr>
          <w:rFonts w:hint="cs"/>
          <w:rtl/>
          <w:lang w:bidi="fa-IR"/>
        </w:rPr>
        <w:t xml:space="preserve"> از نظر عبادت و ثواب،</w:t>
      </w:r>
      <w:r w:rsidR="005C2F72">
        <w:rPr>
          <w:rFonts w:hint="cs"/>
          <w:rtl/>
          <w:lang w:bidi="fa-IR"/>
        </w:rPr>
        <w:t xml:space="preserve"> رفع شده و عبادی</w:t>
      </w:r>
      <w:r w:rsidR="00834DFA">
        <w:rPr>
          <w:rFonts w:hint="cs"/>
          <w:rtl/>
          <w:lang w:bidi="fa-IR"/>
        </w:rPr>
        <w:t>ّ</w:t>
      </w:r>
      <w:r w:rsidR="005C2F72">
        <w:rPr>
          <w:rFonts w:hint="cs"/>
          <w:rtl/>
          <w:lang w:bidi="fa-IR"/>
        </w:rPr>
        <w:t>ت و ثواب داشتن آنها تأمین می شود.</w:t>
      </w:r>
    </w:p>
    <w:p w:rsidR="00F615B3" w:rsidRDefault="00F615B3" w:rsidP="000D7128">
      <w:pPr>
        <w:bidi/>
        <w:rPr>
          <w:rtl/>
          <w:lang w:bidi="fa-IR"/>
        </w:rPr>
      </w:pPr>
      <w:r>
        <w:rPr>
          <w:rFonts w:hint="cs"/>
          <w:rtl/>
          <w:lang w:bidi="fa-IR"/>
        </w:rPr>
        <w:t>اما عبادی</w:t>
      </w:r>
      <w:r w:rsidR="00834DFA">
        <w:rPr>
          <w:rFonts w:hint="cs"/>
          <w:rtl/>
          <w:lang w:bidi="fa-IR"/>
        </w:rPr>
        <w:t>ّ</w:t>
      </w:r>
      <w:r w:rsidR="007661DE">
        <w:rPr>
          <w:rFonts w:hint="cs"/>
          <w:rtl/>
          <w:lang w:bidi="fa-IR"/>
        </w:rPr>
        <w:t xml:space="preserve">ت </w:t>
      </w:r>
      <w:r w:rsidR="00834DFA">
        <w:rPr>
          <w:rFonts w:hint="cs"/>
          <w:rtl/>
          <w:lang w:bidi="fa-IR"/>
        </w:rPr>
        <w:t>تأ</w:t>
      </w:r>
      <w:r>
        <w:rPr>
          <w:rFonts w:hint="cs"/>
          <w:rtl/>
          <w:lang w:bidi="fa-IR"/>
        </w:rPr>
        <w:t>مین می شود زیرا امر ن</w:t>
      </w:r>
      <w:r w:rsidR="000D7128">
        <w:rPr>
          <w:rFonts w:hint="cs"/>
          <w:rtl/>
          <w:lang w:bidi="fa-IR"/>
        </w:rPr>
        <w:t>فسی استحبابی به ضمیمه ی حکم عقل</w:t>
      </w:r>
      <w:r>
        <w:rPr>
          <w:rFonts w:hint="cs"/>
          <w:rtl/>
          <w:lang w:bidi="fa-IR"/>
        </w:rPr>
        <w:t xml:space="preserve"> و اجماع </w:t>
      </w:r>
      <w:r w:rsidR="000D7128">
        <w:rPr>
          <w:rFonts w:hint="cs"/>
          <w:rtl/>
          <w:lang w:bidi="fa-IR"/>
        </w:rPr>
        <w:t xml:space="preserve">بر لزوم قصد امتثال هر امر عبادی، </w:t>
      </w:r>
      <w:r>
        <w:rPr>
          <w:rFonts w:hint="cs"/>
          <w:rtl/>
          <w:lang w:bidi="fa-IR"/>
        </w:rPr>
        <w:t>مشکل عبادت را رفع می کند</w:t>
      </w:r>
      <w:r w:rsidR="000D7128">
        <w:rPr>
          <w:rFonts w:hint="cs"/>
          <w:rtl/>
          <w:lang w:bidi="fa-IR"/>
        </w:rPr>
        <w:t>.</w:t>
      </w:r>
    </w:p>
    <w:p w:rsidR="00F615B3" w:rsidRDefault="00F615B3" w:rsidP="00834DFA">
      <w:pPr>
        <w:bidi/>
        <w:rPr>
          <w:rtl/>
          <w:lang w:bidi="fa-IR"/>
        </w:rPr>
      </w:pPr>
      <w:r>
        <w:rPr>
          <w:rFonts w:hint="cs"/>
          <w:rtl/>
          <w:lang w:bidi="fa-IR"/>
        </w:rPr>
        <w:t>اما ثواب-که بمعنای آن است که مکل</w:t>
      </w:r>
      <w:r w:rsidR="000D7128">
        <w:rPr>
          <w:rFonts w:hint="cs"/>
          <w:rtl/>
          <w:lang w:bidi="fa-IR"/>
        </w:rPr>
        <w:t>ّ</w:t>
      </w:r>
      <w:r>
        <w:rPr>
          <w:rFonts w:hint="cs"/>
          <w:rtl/>
          <w:lang w:bidi="fa-IR"/>
        </w:rPr>
        <w:t>ف</w:t>
      </w:r>
      <w:r w:rsidR="000D7128">
        <w:rPr>
          <w:rFonts w:hint="cs"/>
          <w:rtl/>
          <w:lang w:bidi="fa-IR"/>
        </w:rPr>
        <w:t xml:space="preserve"> با انجام طهارت،</w:t>
      </w:r>
      <w:r>
        <w:rPr>
          <w:rFonts w:hint="cs"/>
          <w:rtl/>
          <w:lang w:bidi="fa-IR"/>
        </w:rPr>
        <w:t xml:space="preserve"> اهلی</w:t>
      </w:r>
      <w:r w:rsidR="000D7128">
        <w:rPr>
          <w:rFonts w:hint="cs"/>
          <w:rtl/>
          <w:lang w:bidi="fa-IR"/>
        </w:rPr>
        <w:t>ّ</w:t>
      </w:r>
      <w:r>
        <w:rPr>
          <w:rFonts w:hint="cs"/>
          <w:rtl/>
          <w:lang w:bidi="fa-IR"/>
        </w:rPr>
        <w:t>ت تفض</w:t>
      </w:r>
      <w:r w:rsidR="00834DFA">
        <w:rPr>
          <w:rFonts w:hint="cs"/>
          <w:rtl/>
          <w:lang w:bidi="fa-IR"/>
        </w:rPr>
        <w:t>ّ</w:t>
      </w:r>
      <w:r>
        <w:rPr>
          <w:rFonts w:hint="cs"/>
          <w:rtl/>
          <w:lang w:bidi="fa-IR"/>
        </w:rPr>
        <w:t>ل</w:t>
      </w:r>
      <w:r w:rsidR="00834DFA">
        <w:rPr>
          <w:rFonts w:hint="cs"/>
          <w:rtl/>
          <w:lang w:bidi="fa-IR"/>
        </w:rPr>
        <w:t>ِ</w:t>
      </w:r>
      <w:r>
        <w:rPr>
          <w:rFonts w:hint="cs"/>
          <w:rtl/>
          <w:lang w:bidi="fa-IR"/>
        </w:rPr>
        <w:t xml:space="preserve"> ثواب </w:t>
      </w:r>
      <w:r w:rsidR="000D7128">
        <w:rPr>
          <w:rFonts w:hint="cs"/>
          <w:rtl/>
          <w:lang w:bidi="fa-IR"/>
        </w:rPr>
        <w:t>پیدا می کند</w:t>
      </w:r>
      <w:r w:rsidR="00834DFA">
        <w:rPr>
          <w:rFonts w:hint="cs"/>
          <w:rtl/>
          <w:lang w:bidi="fa-IR"/>
        </w:rPr>
        <w:t>-</w:t>
      </w:r>
      <w:r w:rsidR="007661DE">
        <w:rPr>
          <w:rFonts w:hint="cs"/>
          <w:rtl/>
          <w:lang w:bidi="fa-IR"/>
        </w:rPr>
        <w:t xml:space="preserve">تأمین می شود </w:t>
      </w:r>
      <w:r>
        <w:rPr>
          <w:rFonts w:hint="cs"/>
          <w:rtl/>
          <w:lang w:bidi="fa-IR"/>
        </w:rPr>
        <w:t xml:space="preserve">زیرا هر </w:t>
      </w:r>
      <w:r w:rsidR="00834DFA">
        <w:rPr>
          <w:rFonts w:hint="cs"/>
          <w:rtl/>
          <w:lang w:bidi="fa-IR"/>
        </w:rPr>
        <w:t>مکل</w:t>
      </w:r>
      <w:r w:rsidR="00B57E73">
        <w:rPr>
          <w:rFonts w:hint="cs"/>
          <w:rtl/>
          <w:lang w:bidi="fa-IR"/>
        </w:rPr>
        <w:t>ّ</w:t>
      </w:r>
      <w:r w:rsidR="00834DFA">
        <w:rPr>
          <w:rFonts w:hint="cs"/>
          <w:rtl/>
          <w:lang w:bidi="fa-IR"/>
        </w:rPr>
        <w:t>فی که</w:t>
      </w:r>
      <w:r>
        <w:rPr>
          <w:rFonts w:hint="cs"/>
          <w:rtl/>
          <w:lang w:bidi="fa-IR"/>
        </w:rPr>
        <w:t xml:space="preserve"> قصد امتثال امر مولوی کند</w:t>
      </w:r>
      <w:r w:rsidR="000D7128">
        <w:rPr>
          <w:rFonts w:hint="cs"/>
          <w:rtl/>
          <w:lang w:bidi="fa-IR"/>
        </w:rPr>
        <w:t>،</w:t>
      </w:r>
      <w:r>
        <w:rPr>
          <w:rFonts w:hint="cs"/>
          <w:rtl/>
          <w:lang w:bidi="fa-IR"/>
        </w:rPr>
        <w:t xml:space="preserve"> خود را مطیع مولا قرار داده</w:t>
      </w:r>
      <w:r w:rsidR="000D7128">
        <w:rPr>
          <w:rFonts w:hint="cs"/>
          <w:rtl/>
          <w:lang w:bidi="fa-IR"/>
        </w:rPr>
        <w:t xml:space="preserve"> است</w:t>
      </w:r>
      <w:r>
        <w:rPr>
          <w:rFonts w:hint="cs"/>
          <w:rtl/>
          <w:lang w:bidi="fa-IR"/>
        </w:rPr>
        <w:t xml:space="preserve"> که مستلزم تفض</w:t>
      </w:r>
      <w:r w:rsidR="00834DFA">
        <w:rPr>
          <w:rFonts w:hint="cs"/>
          <w:rtl/>
          <w:lang w:bidi="fa-IR"/>
        </w:rPr>
        <w:t>ّ</w:t>
      </w:r>
      <w:r>
        <w:rPr>
          <w:rFonts w:hint="cs"/>
          <w:rtl/>
          <w:lang w:bidi="fa-IR"/>
        </w:rPr>
        <w:t xml:space="preserve">ل </w:t>
      </w:r>
      <w:r w:rsidR="000D7128">
        <w:rPr>
          <w:rFonts w:hint="cs"/>
          <w:rtl/>
          <w:lang w:bidi="fa-IR"/>
        </w:rPr>
        <w:t>مولا در حق</w:t>
      </w:r>
      <w:r w:rsidR="00834DFA">
        <w:rPr>
          <w:rFonts w:hint="cs"/>
          <w:rtl/>
          <w:lang w:bidi="fa-IR"/>
        </w:rPr>
        <w:t>ّ</w:t>
      </w:r>
      <w:r w:rsidR="000D7128">
        <w:rPr>
          <w:rFonts w:hint="cs"/>
          <w:rtl/>
          <w:lang w:bidi="fa-IR"/>
        </w:rPr>
        <w:t xml:space="preserve"> او می باشد؛</w:t>
      </w:r>
      <w:r>
        <w:rPr>
          <w:rFonts w:hint="cs"/>
          <w:rtl/>
          <w:lang w:bidi="fa-IR"/>
        </w:rPr>
        <w:t xml:space="preserve"> پس هرگاه مکل</w:t>
      </w:r>
      <w:r w:rsidR="000D7128">
        <w:rPr>
          <w:rFonts w:hint="cs"/>
          <w:rtl/>
          <w:lang w:bidi="fa-IR"/>
        </w:rPr>
        <w:t>ّ</w:t>
      </w:r>
      <w:r>
        <w:rPr>
          <w:rFonts w:hint="cs"/>
          <w:rtl/>
          <w:lang w:bidi="fa-IR"/>
        </w:rPr>
        <w:t>ف به امر نفسی توج</w:t>
      </w:r>
      <w:r w:rsidR="000D7128">
        <w:rPr>
          <w:rFonts w:hint="cs"/>
          <w:rtl/>
          <w:lang w:bidi="fa-IR"/>
        </w:rPr>
        <w:t>ّه کند و وضو بگیرد یا غسل کند یا تیمّم کند،</w:t>
      </w:r>
      <w:r>
        <w:rPr>
          <w:rFonts w:hint="cs"/>
          <w:rtl/>
          <w:lang w:bidi="fa-IR"/>
        </w:rPr>
        <w:t xml:space="preserve"> در حالیکه قصدش مطلوبی</w:t>
      </w:r>
      <w:r w:rsidR="000D7128">
        <w:rPr>
          <w:rFonts w:hint="cs"/>
          <w:rtl/>
          <w:lang w:bidi="fa-IR"/>
        </w:rPr>
        <w:t>ّ</w:t>
      </w:r>
      <w:r>
        <w:rPr>
          <w:rFonts w:hint="cs"/>
          <w:rtl/>
          <w:lang w:bidi="fa-IR"/>
        </w:rPr>
        <w:t xml:space="preserve">ت طهارت از ناحیه ی </w:t>
      </w:r>
      <w:r w:rsidR="000D7128">
        <w:rPr>
          <w:rFonts w:hint="cs"/>
          <w:rtl/>
          <w:lang w:bidi="fa-IR"/>
        </w:rPr>
        <w:t>شارع</w:t>
      </w:r>
      <w:r>
        <w:rPr>
          <w:rFonts w:hint="cs"/>
          <w:rtl/>
          <w:lang w:bidi="fa-IR"/>
        </w:rPr>
        <w:t xml:space="preserve"> باشد</w:t>
      </w:r>
      <w:r w:rsidR="000D7128">
        <w:rPr>
          <w:rFonts w:hint="cs"/>
          <w:rtl/>
          <w:lang w:bidi="fa-IR"/>
        </w:rPr>
        <w:softHyphen/>
        <w:t>، انجام هر یک از این سه عمل-</w:t>
      </w:r>
      <w:r>
        <w:rPr>
          <w:rFonts w:hint="cs"/>
          <w:rtl/>
          <w:lang w:bidi="fa-IR"/>
        </w:rPr>
        <w:t>قبل از وقت</w:t>
      </w:r>
      <w:r w:rsidR="000D7128">
        <w:rPr>
          <w:rFonts w:hint="cs"/>
          <w:rtl/>
          <w:lang w:bidi="fa-IR"/>
        </w:rPr>
        <w:t xml:space="preserve"> ذی المقد</w:t>
      </w:r>
      <w:r w:rsidR="00834DFA">
        <w:rPr>
          <w:rFonts w:hint="cs"/>
          <w:rtl/>
          <w:lang w:bidi="fa-IR"/>
        </w:rPr>
        <w:t>ّ</w:t>
      </w:r>
      <w:r w:rsidR="000D7128">
        <w:rPr>
          <w:rFonts w:hint="cs"/>
          <w:rtl/>
          <w:lang w:bidi="fa-IR"/>
        </w:rPr>
        <w:t>مه باشد</w:t>
      </w:r>
      <w:r>
        <w:rPr>
          <w:rFonts w:hint="cs"/>
          <w:rtl/>
          <w:lang w:bidi="fa-IR"/>
        </w:rPr>
        <w:t xml:space="preserve"> یا بعد از وقت</w:t>
      </w:r>
      <w:r w:rsidR="000D7128">
        <w:rPr>
          <w:rFonts w:hint="cs"/>
          <w:rtl/>
          <w:lang w:bidi="fa-IR"/>
        </w:rPr>
        <w:t>ِ</w:t>
      </w:r>
      <w:r>
        <w:rPr>
          <w:rFonts w:hint="cs"/>
          <w:rtl/>
          <w:lang w:bidi="fa-IR"/>
        </w:rPr>
        <w:t xml:space="preserve"> ذی المقد</w:t>
      </w:r>
      <w:r w:rsidR="000D7128">
        <w:rPr>
          <w:rFonts w:hint="cs"/>
          <w:rtl/>
          <w:lang w:bidi="fa-IR"/>
        </w:rPr>
        <w:t>ّمه-</w:t>
      </w:r>
      <w:r>
        <w:rPr>
          <w:rFonts w:hint="cs"/>
          <w:rtl/>
          <w:lang w:bidi="fa-IR"/>
        </w:rPr>
        <w:t>، موجب عبادی</w:t>
      </w:r>
      <w:r w:rsidR="007661DE">
        <w:rPr>
          <w:rFonts w:hint="cs"/>
          <w:rtl/>
          <w:lang w:bidi="fa-IR"/>
        </w:rPr>
        <w:t>ّ</w:t>
      </w:r>
      <w:r>
        <w:rPr>
          <w:rFonts w:hint="cs"/>
          <w:rtl/>
          <w:lang w:bidi="fa-IR"/>
        </w:rPr>
        <w:t>ت و ثواب</w:t>
      </w:r>
      <w:r w:rsidR="00892991">
        <w:rPr>
          <w:rFonts w:hint="cs"/>
          <w:rtl/>
          <w:lang w:bidi="fa-IR"/>
        </w:rPr>
        <w:t xml:space="preserve"> داشتن آنها</w:t>
      </w:r>
      <w:r>
        <w:rPr>
          <w:rFonts w:hint="cs"/>
          <w:rtl/>
          <w:lang w:bidi="fa-IR"/>
        </w:rPr>
        <w:t xml:space="preserve">ست </w:t>
      </w:r>
      <w:r w:rsidR="00892991">
        <w:rPr>
          <w:rFonts w:hint="cs"/>
          <w:rtl/>
          <w:lang w:bidi="fa-IR"/>
        </w:rPr>
        <w:t>.</w:t>
      </w:r>
    </w:p>
    <w:p w:rsidR="00F615B3" w:rsidRDefault="00F615B3" w:rsidP="00834DFA">
      <w:pPr>
        <w:bidi/>
        <w:rPr>
          <w:rtl/>
          <w:lang w:bidi="fa-IR"/>
        </w:rPr>
      </w:pPr>
      <w:r>
        <w:rPr>
          <w:rFonts w:hint="cs"/>
          <w:rtl/>
          <w:lang w:bidi="fa-IR"/>
        </w:rPr>
        <w:t>ام</w:t>
      </w:r>
      <w:r w:rsidR="00D9612E">
        <w:rPr>
          <w:rFonts w:hint="cs"/>
          <w:rtl/>
          <w:lang w:bidi="fa-IR"/>
        </w:rPr>
        <w:t>ّ</w:t>
      </w:r>
      <w:r>
        <w:rPr>
          <w:rFonts w:hint="cs"/>
          <w:rtl/>
          <w:lang w:bidi="fa-IR"/>
        </w:rPr>
        <w:t>ا اگر بعد از وقت با غفلت از امر نفسی آنها،</w:t>
      </w:r>
      <w:r w:rsidR="00D9612E">
        <w:rPr>
          <w:rFonts w:hint="cs"/>
          <w:rtl/>
          <w:lang w:bidi="fa-IR"/>
        </w:rPr>
        <w:t xml:space="preserve"> مشغول</w:t>
      </w:r>
      <w:r>
        <w:rPr>
          <w:rFonts w:hint="cs"/>
          <w:rtl/>
          <w:lang w:bidi="fa-IR"/>
        </w:rPr>
        <w:t xml:space="preserve"> طهارت </w:t>
      </w:r>
      <w:r w:rsidR="00D9612E">
        <w:rPr>
          <w:rFonts w:hint="cs"/>
          <w:rtl/>
          <w:lang w:bidi="fa-IR"/>
        </w:rPr>
        <w:t>شود، برای رفع مشکل عبادت و ثواب،</w:t>
      </w:r>
      <w:r>
        <w:rPr>
          <w:rFonts w:hint="cs"/>
          <w:rtl/>
          <w:lang w:bidi="fa-IR"/>
        </w:rPr>
        <w:t xml:space="preserve"> باید به فرمایش محق</w:t>
      </w:r>
      <w:r w:rsidR="00D9612E">
        <w:rPr>
          <w:rFonts w:hint="cs"/>
          <w:rtl/>
          <w:lang w:bidi="fa-IR"/>
        </w:rPr>
        <w:t>ّ</w:t>
      </w:r>
      <w:r>
        <w:rPr>
          <w:rFonts w:hint="cs"/>
          <w:rtl/>
          <w:lang w:bidi="fa-IR"/>
        </w:rPr>
        <w:t>ق نائینی ملتزم شویم و بگوییم</w:t>
      </w:r>
      <w:r w:rsidR="00D9612E">
        <w:rPr>
          <w:rFonts w:hint="cs"/>
          <w:rtl/>
          <w:lang w:bidi="fa-IR"/>
        </w:rPr>
        <w:t>:</w:t>
      </w:r>
      <w:r>
        <w:rPr>
          <w:rFonts w:hint="cs"/>
          <w:rtl/>
          <w:lang w:bidi="fa-IR"/>
        </w:rPr>
        <w:t xml:space="preserve"> مکل</w:t>
      </w:r>
      <w:r w:rsidR="00D9612E">
        <w:rPr>
          <w:rFonts w:hint="cs"/>
          <w:rtl/>
          <w:lang w:bidi="fa-IR"/>
        </w:rPr>
        <w:t>ّ</w:t>
      </w:r>
      <w:r>
        <w:rPr>
          <w:rFonts w:hint="cs"/>
          <w:rtl/>
          <w:lang w:bidi="fa-IR"/>
        </w:rPr>
        <w:t>ف قصد می کند امتثال امر نفسی</w:t>
      </w:r>
      <w:r w:rsidR="00F942A9">
        <w:rPr>
          <w:rFonts w:hint="cs"/>
          <w:rtl/>
          <w:lang w:bidi="fa-IR"/>
        </w:rPr>
        <w:t>ِ</w:t>
      </w:r>
      <w:r>
        <w:rPr>
          <w:rFonts w:hint="cs"/>
          <w:rtl/>
          <w:lang w:bidi="fa-IR"/>
        </w:rPr>
        <w:t xml:space="preserve"> تحلیلی</w:t>
      </w:r>
      <w:r w:rsidR="00F942A9">
        <w:rPr>
          <w:rFonts w:hint="cs"/>
          <w:rtl/>
          <w:lang w:bidi="fa-IR"/>
        </w:rPr>
        <w:t>ِ</w:t>
      </w:r>
      <w:r>
        <w:rPr>
          <w:rFonts w:hint="cs"/>
          <w:rtl/>
          <w:lang w:bidi="fa-IR"/>
        </w:rPr>
        <w:t xml:space="preserve"> ذی المقد</w:t>
      </w:r>
      <w:r w:rsidR="00D9612E">
        <w:rPr>
          <w:rFonts w:hint="cs"/>
          <w:rtl/>
          <w:lang w:bidi="fa-IR"/>
        </w:rPr>
        <w:t>ّ</w:t>
      </w:r>
      <w:r>
        <w:rPr>
          <w:rFonts w:hint="cs"/>
          <w:rtl/>
          <w:lang w:bidi="fa-IR"/>
        </w:rPr>
        <w:t>مه را</w:t>
      </w:r>
      <w:r w:rsidR="00D9612E">
        <w:rPr>
          <w:rFonts w:hint="cs"/>
          <w:rtl/>
          <w:lang w:bidi="fa-IR"/>
        </w:rPr>
        <w:t>،</w:t>
      </w:r>
      <w:r>
        <w:rPr>
          <w:rFonts w:hint="cs"/>
          <w:rtl/>
          <w:lang w:bidi="fa-IR"/>
        </w:rPr>
        <w:t xml:space="preserve"> در حالیکه </w:t>
      </w:r>
      <w:r w:rsidR="00D9612E">
        <w:rPr>
          <w:rFonts w:hint="cs"/>
          <w:rtl/>
          <w:lang w:bidi="fa-IR"/>
        </w:rPr>
        <w:t xml:space="preserve">اتیان می کند شرط واجبی را که </w:t>
      </w:r>
      <w:r>
        <w:rPr>
          <w:rFonts w:hint="cs"/>
          <w:rtl/>
          <w:lang w:bidi="fa-IR"/>
        </w:rPr>
        <w:t>معادل جزء است از</w:t>
      </w:r>
      <w:r w:rsidR="00834DFA">
        <w:rPr>
          <w:rFonts w:hint="cs"/>
          <w:rtl/>
          <w:lang w:bidi="fa-IR"/>
        </w:rPr>
        <w:t xml:space="preserve"> این</w:t>
      </w:r>
      <w:r>
        <w:rPr>
          <w:rFonts w:hint="cs"/>
          <w:rtl/>
          <w:lang w:bidi="fa-IR"/>
        </w:rPr>
        <w:t xml:space="preserve"> جهت</w:t>
      </w:r>
      <w:r w:rsidR="00834DFA">
        <w:rPr>
          <w:rFonts w:hint="cs"/>
          <w:rtl/>
          <w:lang w:bidi="fa-IR"/>
        </w:rPr>
        <w:t xml:space="preserve"> که</w:t>
      </w:r>
      <w:r>
        <w:rPr>
          <w:rFonts w:hint="cs"/>
          <w:rtl/>
          <w:lang w:bidi="fa-IR"/>
        </w:rPr>
        <w:t xml:space="preserve"> تقی</w:t>
      </w:r>
      <w:r w:rsidR="00D9612E">
        <w:rPr>
          <w:rFonts w:hint="cs"/>
          <w:rtl/>
          <w:lang w:bidi="fa-IR"/>
        </w:rPr>
        <w:t>ّ</w:t>
      </w:r>
      <w:r>
        <w:rPr>
          <w:rFonts w:hint="cs"/>
          <w:rtl/>
          <w:lang w:bidi="fa-IR"/>
        </w:rPr>
        <w:t>د ذی المقد</w:t>
      </w:r>
      <w:r w:rsidR="00D9612E">
        <w:rPr>
          <w:rFonts w:hint="cs"/>
          <w:rtl/>
          <w:lang w:bidi="fa-IR"/>
        </w:rPr>
        <w:t>ّ</w:t>
      </w:r>
      <w:r>
        <w:rPr>
          <w:rFonts w:hint="cs"/>
          <w:rtl/>
          <w:lang w:bidi="fa-IR"/>
        </w:rPr>
        <w:t>مه به آن شرط</w:t>
      </w:r>
      <w:r w:rsidR="00D9612E">
        <w:rPr>
          <w:rFonts w:hint="cs"/>
          <w:rtl/>
          <w:lang w:bidi="fa-IR"/>
        </w:rPr>
        <w:t>،</w:t>
      </w:r>
      <w:r>
        <w:rPr>
          <w:rFonts w:hint="cs"/>
          <w:rtl/>
          <w:lang w:bidi="fa-IR"/>
        </w:rPr>
        <w:t xml:space="preserve"> همانند تقی</w:t>
      </w:r>
      <w:r w:rsidR="00D9612E">
        <w:rPr>
          <w:rFonts w:hint="cs"/>
          <w:rtl/>
          <w:lang w:bidi="fa-IR"/>
        </w:rPr>
        <w:t>ّ</w:t>
      </w:r>
      <w:r>
        <w:rPr>
          <w:rFonts w:hint="cs"/>
          <w:rtl/>
          <w:lang w:bidi="fa-IR"/>
        </w:rPr>
        <w:t>د ذی المقد</w:t>
      </w:r>
      <w:r w:rsidR="00D9612E">
        <w:rPr>
          <w:rFonts w:hint="cs"/>
          <w:rtl/>
          <w:lang w:bidi="fa-IR"/>
        </w:rPr>
        <w:t>ّمه به أ</w:t>
      </w:r>
      <w:r>
        <w:rPr>
          <w:rFonts w:hint="cs"/>
          <w:rtl/>
          <w:lang w:bidi="fa-IR"/>
        </w:rPr>
        <w:t>جزاست</w:t>
      </w:r>
      <w:r w:rsidR="00D9612E">
        <w:rPr>
          <w:rFonts w:hint="cs"/>
          <w:rtl/>
          <w:lang w:bidi="fa-IR"/>
        </w:rPr>
        <w:t>.</w:t>
      </w:r>
    </w:p>
    <w:p w:rsidR="00F615B3" w:rsidRDefault="00F615B3" w:rsidP="00930E43">
      <w:pPr>
        <w:bidi/>
        <w:rPr>
          <w:rtl/>
          <w:lang w:bidi="fa-IR"/>
        </w:rPr>
      </w:pPr>
      <w:r>
        <w:rPr>
          <w:rFonts w:hint="cs"/>
          <w:rtl/>
          <w:lang w:bidi="fa-IR"/>
        </w:rPr>
        <w:t>و می توان بدینوسیله فر</w:t>
      </w:r>
      <w:r w:rsidR="00930E43">
        <w:rPr>
          <w:rFonts w:hint="cs"/>
          <w:rtl/>
          <w:lang w:bidi="fa-IR"/>
        </w:rPr>
        <w:t>مایش صاحب معالم را بر فرمایش محق</w:t>
      </w:r>
      <w:r w:rsidR="00834DFA">
        <w:rPr>
          <w:rFonts w:hint="cs"/>
          <w:rtl/>
          <w:lang w:bidi="fa-IR"/>
        </w:rPr>
        <w:t>ّ</w:t>
      </w:r>
      <w:r w:rsidR="00930E43">
        <w:rPr>
          <w:rFonts w:hint="cs"/>
          <w:rtl/>
          <w:lang w:bidi="fa-IR"/>
        </w:rPr>
        <w:t xml:space="preserve">ق نائینی منطبق کنیم آنجا که می گوید: </w:t>
      </w:r>
      <w:r>
        <w:rPr>
          <w:rFonts w:hint="cs"/>
          <w:rtl/>
          <w:lang w:bidi="fa-IR"/>
        </w:rPr>
        <w:t>در واجب غیری باید قصد توص</w:t>
      </w:r>
      <w:r w:rsidR="00930E43">
        <w:rPr>
          <w:rFonts w:hint="cs"/>
          <w:rtl/>
          <w:lang w:bidi="fa-IR"/>
        </w:rPr>
        <w:t>ّ</w:t>
      </w:r>
      <w:r>
        <w:rPr>
          <w:rFonts w:hint="cs"/>
          <w:rtl/>
          <w:lang w:bidi="fa-IR"/>
        </w:rPr>
        <w:t>ل به ذی المقد</w:t>
      </w:r>
      <w:r w:rsidR="00834DFA">
        <w:rPr>
          <w:rFonts w:hint="cs"/>
          <w:rtl/>
          <w:lang w:bidi="fa-IR"/>
        </w:rPr>
        <w:t>ّ</w:t>
      </w:r>
      <w:r>
        <w:rPr>
          <w:rFonts w:hint="cs"/>
          <w:rtl/>
          <w:lang w:bidi="fa-IR"/>
        </w:rPr>
        <w:t>مه شود</w:t>
      </w:r>
      <w:r w:rsidR="00834DFA">
        <w:rPr>
          <w:rFonts w:hint="cs"/>
          <w:rtl/>
          <w:lang w:bidi="fa-IR"/>
        </w:rPr>
        <w:t xml:space="preserve"> و قصد توصّل</w:t>
      </w:r>
      <w:r>
        <w:rPr>
          <w:rFonts w:hint="cs"/>
          <w:rtl/>
          <w:lang w:bidi="fa-IR"/>
        </w:rPr>
        <w:t xml:space="preserve"> یعنی قصد غایت</w:t>
      </w:r>
      <w:r w:rsidR="00930E43">
        <w:rPr>
          <w:rFonts w:hint="cs"/>
          <w:rtl/>
          <w:lang w:bidi="fa-IR"/>
        </w:rPr>
        <w:t xml:space="preserve">؛ زیرا امر </w:t>
      </w:r>
      <w:r w:rsidR="00930E43">
        <w:rPr>
          <w:rFonts w:hint="cs"/>
          <w:rtl/>
          <w:lang w:bidi="fa-IR"/>
        </w:rPr>
        <w:lastRenderedPageBreak/>
        <w:t>غیری امتثال نمی شود مگ</w:t>
      </w:r>
      <w:r>
        <w:rPr>
          <w:rFonts w:hint="cs"/>
          <w:rtl/>
          <w:lang w:bidi="fa-IR"/>
        </w:rPr>
        <w:t>ر اینکه قصد توص</w:t>
      </w:r>
      <w:r w:rsidR="00930E43">
        <w:rPr>
          <w:rFonts w:hint="cs"/>
          <w:rtl/>
          <w:lang w:bidi="fa-IR"/>
        </w:rPr>
        <w:t>ّ</w:t>
      </w:r>
      <w:r>
        <w:rPr>
          <w:rFonts w:hint="cs"/>
          <w:rtl/>
          <w:lang w:bidi="fa-IR"/>
        </w:rPr>
        <w:t>ل به غیر</w:t>
      </w:r>
      <w:r w:rsidR="00930E43">
        <w:rPr>
          <w:rFonts w:hint="cs"/>
          <w:rtl/>
          <w:lang w:bidi="fa-IR"/>
        </w:rPr>
        <w:t>،</w:t>
      </w:r>
      <w:r>
        <w:rPr>
          <w:rFonts w:hint="cs"/>
          <w:rtl/>
          <w:lang w:bidi="fa-IR"/>
        </w:rPr>
        <w:t xml:space="preserve"> محق</w:t>
      </w:r>
      <w:r w:rsidR="00930E43">
        <w:rPr>
          <w:rFonts w:hint="cs"/>
          <w:rtl/>
          <w:lang w:bidi="fa-IR"/>
        </w:rPr>
        <w:t>ّ</w:t>
      </w:r>
      <w:r>
        <w:rPr>
          <w:rFonts w:hint="cs"/>
          <w:rtl/>
          <w:lang w:bidi="fa-IR"/>
        </w:rPr>
        <w:t>ق شود و روح معنای امر غیری</w:t>
      </w:r>
      <w:r w:rsidR="00930E43">
        <w:rPr>
          <w:rFonts w:hint="cs"/>
          <w:rtl/>
          <w:lang w:bidi="fa-IR"/>
        </w:rPr>
        <w:t>،</w:t>
      </w:r>
      <w:r>
        <w:rPr>
          <w:rFonts w:hint="cs"/>
          <w:rtl/>
          <w:lang w:bidi="fa-IR"/>
        </w:rPr>
        <w:t xml:space="preserve"> فرمایش صاحب معال</w:t>
      </w:r>
      <w:r w:rsidR="00930E43">
        <w:rPr>
          <w:rFonts w:hint="cs"/>
          <w:rtl/>
          <w:lang w:bidi="fa-IR"/>
        </w:rPr>
        <w:t>م</w:t>
      </w:r>
      <w:r>
        <w:rPr>
          <w:rFonts w:hint="cs"/>
          <w:rtl/>
          <w:lang w:bidi="fa-IR"/>
        </w:rPr>
        <w:t xml:space="preserve"> است</w:t>
      </w:r>
      <w:r w:rsidR="00930E43">
        <w:rPr>
          <w:rFonts w:hint="cs"/>
          <w:rtl/>
          <w:lang w:bidi="fa-IR"/>
        </w:rPr>
        <w:t>؛</w:t>
      </w:r>
    </w:p>
    <w:p w:rsidR="00F615B3" w:rsidRDefault="00930E43" w:rsidP="0087240C">
      <w:pPr>
        <w:bidi/>
        <w:rPr>
          <w:rtl/>
          <w:lang w:bidi="fa-IR"/>
        </w:rPr>
      </w:pPr>
      <w:r>
        <w:rPr>
          <w:rFonts w:hint="cs"/>
          <w:rtl/>
          <w:lang w:bidi="fa-IR"/>
        </w:rPr>
        <w:t>در نتیجه ملاک عبادی</w:t>
      </w:r>
      <w:r w:rsidR="00834DFA">
        <w:rPr>
          <w:rFonts w:hint="cs"/>
          <w:rtl/>
          <w:lang w:bidi="fa-IR"/>
        </w:rPr>
        <w:t>ّ</w:t>
      </w:r>
      <w:r>
        <w:rPr>
          <w:rFonts w:hint="cs"/>
          <w:rtl/>
          <w:lang w:bidi="fa-IR"/>
        </w:rPr>
        <w:t>ت طهارات ثلاث عبارت است از</w:t>
      </w:r>
      <w:r w:rsidR="00F615B3">
        <w:rPr>
          <w:rFonts w:hint="cs"/>
          <w:rtl/>
          <w:lang w:bidi="fa-IR"/>
        </w:rPr>
        <w:t xml:space="preserve"> توص</w:t>
      </w:r>
      <w:r>
        <w:rPr>
          <w:rFonts w:hint="cs"/>
          <w:rtl/>
          <w:lang w:bidi="fa-IR"/>
        </w:rPr>
        <w:t>ّ</w:t>
      </w:r>
      <w:r w:rsidR="00F615B3">
        <w:rPr>
          <w:rFonts w:hint="cs"/>
          <w:rtl/>
          <w:lang w:bidi="fa-IR"/>
        </w:rPr>
        <w:t>ل ب</w:t>
      </w:r>
      <w:r>
        <w:rPr>
          <w:rFonts w:hint="cs"/>
          <w:rtl/>
          <w:lang w:bidi="fa-IR"/>
        </w:rPr>
        <w:t>وسیله ی امر غیری به آ</w:t>
      </w:r>
      <w:r w:rsidR="00F615B3">
        <w:rPr>
          <w:rFonts w:hint="cs"/>
          <w:rtl/>
          <w:lang w:bidi="fa-IR"/>
        </w:rPr>
        <w:t>ن غیر</w:t>
      </w:r>
      <w:r>
        <w:rPr>
          <w:rFonts w:hint="cs"/>
          <w:rtl/>
          <w:lang w:bidi="fa-IR"/>
        </w:rPr>
        <w:t>؛</w:t>
      </w:r>
      <w:r w:rsidR="00F615B3">
        <w:rPr>
          <w:rFonts w:hint="cs"/>
          <w:rtl/>
          <w:lang w:bidi="fa-IR"/>
        </w:rPr>
        <w:t xml:space="preserve"> و حقیقت توص</w:t>
      </w:r>
      <w:r>
        <w:rPr>
          <w:rFonts w:hint="cs"/>
          <w:rtl/>
          <w:lang w:bidi="fa-IR"/>
        </w:rPr>
        <w:t>ّل</w:t>
      </w:r>
      <w:r w:rsidR="00834DFA">
        <w:rPr>
          <w:rFonts w:hint="cs"/>
          <w:rtl/>
          <w:lang w:bidi="fa-IR"/>
        </w:rPr>
        <w:t>،</w:t>
      </w:r>
      <w:r>
        <w:rPr>
          <w:rFonts w:hint="cs"/>
          <w:rtl/>
          <w:lang w:bidi="fa-IR"/>
        </w:rPr>
        <w:t xml:space="preserve"> جز اتیان ذی الم</w:t>
      </w:r>
      <w:r w:rsidR="00F615B3">
        <w:rPr>
          <w:rFonts w:hint="cs"/>
          <w:rtl/>
          <w:lang w:bidi="fa-IR"/>
        </w:rPr>
        <w:t>قد</w:t>
      </w:r>
      <w:r>
        <w:rPr>
          <w:rFonts w:hint="cs"/>
          <w:rtl/>
          <w:lang w:bidi="fa-IR"/>
        </w:rPr>
        <w:t>ّ</w:t>
      </w:r>
      <w:r w:rsidR="00F615B3">
        <w:rPr>
          <w:rFonts w:hint="cs"/>
          <w:rtl/>
          <w:lang w:bidi="fa-IR"/>
        </w:rPr>
        <w:t>مه بر وجه صحیح</w:t>
      </w:r>
      <w:r>
        <w:rPr>
          <w:rFonts w:hint="cs"/>
          <w:rtl/>
          <w:lang w:bidi="fa-IR"/>
        </w:rPr>
        <w:t>،</w:t>
      </w:r>
      <w:r w:rsidR="00F615B3">
        <w:rPr>
          <w:rFonts w:hint="cs"/>
          <w:rtl/>
          <w:lang w:bidi="fa-IR"/>
        </w:rPr>
        <w:t xml:space="preserve"> چیز دیگری نیست</w:t>
      </w:r>
      <w:r>
        <w:rPr>
          <w:rFonts w:hint="cs"/>
          <w:rtl/>
          <w:lang w:bidi="fa-IR"/>
        </w:rPr>
        <w:t>؛ و ای</w:t>
      </w:r>
      <w:r w:rsidR="00834DFA">
        <w:rPr>
          <w:rFonts w:hint="cs"/>
          <w:rtl/>
          <w:lang w:bidi="fa-IR"/>
        </w:rPr>
        <w:t>ن</w:t>
      </w:r>
      <w:r>
        <w:rPr>
          <w:rFonts w:hint="cs"/>
          <w:rtl/>
          <w:lang w:bidi="fa-IR"/>
        </w:rPr>
        <w:t xml:space="preserve"> معنای آن است که طهارات ثلاث</w:t>
      </w:r>
      <w:r w:rsidR="00834DFA">
        <w:rPr>
          <w:rFonts w:hint="cs"/>
          <w:rtl/>
          <w:lang w:bidi="fa-IR"/>
        </w:rPr>
        <w:t>،</w:t>
      </w:r>
      <w:r>
        <w:rPr>
          <w:rFonts w:hint="cs"/>
          <w:rtl/>
          <w:lang w:bidi="fa-IR"/>
        </w:rPr>
        <w:t xml:space="preserve"> شرط فعل واجب می باشند</w:t>
      </w:r>
      <w:r w:rsidR="00F615B3">
        <w:rPr>
          <w:rFonts w:hint="cs"/>
          <w:rtl/>
          <w:lang w:bidi="fa-IR"/>
        </w:rPr>
        <w:t xml:space="preserve"> و قصد توص</w:t>
      </w:r>
      <w:r w:rsidR="00834DFA">
        <w:rPr>
          <w:rFonts w:hint="cs"/>
          <w:rtl/>
          <w:lang w:bidi="fa-IR"/>
        </w:rPr>
        <w:t>ّ</w:t>
      </w:r>
      <w:r w:rsidR="00F615B3">
        <w:rPr>
          <w:rFonts w:hint="cs"/>
          <w:rtl/>
          <w:lang w:bidi="fa-IR"/>
        </w:rPr>
        <w:t>ل طهارات را نازل منزله ی جزء قرار می دهد و بوسیله ی وجوب نفسی واجب، واجب می شوند</w:t>
      </w:r>
      <w:r w:rsidR="0087240C">
        <w:rPr>
          <w:rFonts w:hint="cs"/>
          <w:rtl/>
          <w:lang w:bidi="fa-IR"/>
        </w:rPr>
        <w:t>؛</w:t>
      </w:r>
      <w:r w:rsidR="00F615B3">
        <w:rPr>
          <w:rFonts w:hint="cs"/>
          <w:rtl/>
          <w:lang w:bidi="fa-IR"/>
        </w:rPr>
        <w:t xml:space="preserve"> و امر غیری</w:t>
      </w:r>
      <w:r>
        <w:rPr>
          <w:rFonts w:hint="cs"/>
          <w:rtl/>
          <w:lang w:bidi="fa-IR"/>
        </w:rPr>
        <w:t>،</w:t>
      </w:r>
      <w:r w:rsidR="00F615B3">
        <w:rPr>
          <w:rFonts w:hint="cs"/>
          <w:rtl/>
          <w:lang w:bidi="fa-IR"/>
        </w:rPr>
        <w:t xml:space="preserve"> </w:t>
      </w:r>
      <w:r>
        <w:rPr>
          <w:rFonts w:hint="cs"/>
          <w:rtl/>
          <w:lang w:bidi="fa-IR"/>
        </w:rPr>
        <w:t>جز</w:t>
      </w:r>
      <w:r w:rsidR="0087240C">
        <w:rPr>
          <w:rFonts w:hint="cs"/>
          <w:rtl/>
          <w:lang w:bidi="fa-IR"/>
        </w:rPr>
        <w:t xml:space="preserve"> آلی</w:t>
      </w:r>
      <w:r w:rsidR="00834DFA">
        <w:rPr>
          <w:rFonts w:hint="cs"/>
          <w:rtl/>
          <w:lang w:bidi="fa-IR"/>
        </w:rPr>
        <w:t>ّ</w:t>
      </w:r>
      <w:r w:rsidR="0087240C">
        <w:rPr>
          <w:rFonts w:hint="cs"/>
          <w:rtl/>
          <w:lang w:bidi="fa-IR"/>
        </w:rPr>
        <w:t>ت و طریقی</w:t>
      </w:r>
      <w:r w:rsidR="00834DFA">
        <w:rPr>
          <w:rFonts w:hint="cs"/>
          <w:rtl/>
          <w:lang w:bidi="fa-IR"/>
        </w:rPr>
        <w:t>ّ</w:t>
      </w:r>
      <w:r w:rsidR="0087240C">
        <w:rPr>
          <w:rFonts w:hint="cs"/>
          <w:rtl/>
          <w:lang w:bidi="fa-IR"/>
        </w:rPr>
        <w:t>ت و</w:t>
      </w:r>
      <w:r>
        <w:rPr>
          <w:rFonts w:hint="cs"/>
          <w:rtl/>
          <w:lang w:bidi="fa-IR"/>
        </w:rPr>
        <w:t xml:space="preserve"> راه وصول به امر غیری</w:t>
      </w:r>
      <w:r w:rsidR="0087240C">
        <w:rPr>
          <w:rFonts w:hint="cs"/>
          <w:rtl/>
          <w:lang w:bidi="fa-IR"/>
        </w:rPr>
        <w:t>، شأنی</w:t>
      </w:r>
      <w:r>
        <w:rPr>
          <w:rFonts w:hint="cs"/>
          <w:rtl/>
          <w:lang w:bidi="fa-IR"/>
        </w:rPr>
        <w:t xml:space="preserve"> ندارد.</w:t>
      </w:r>
      <w:r w:rsidR="0087240C">
        <w:rPr>
          <w:rFonts w:hint="cs"/>
          <w:rtl/>
          <w:lang w:bidi="fa-IR"/>
        </w:rPr>
        <w:t xml:space="preserve"> و این بیان</w:t>
      </w:r>
      <w:r w:rsidR="00834DFA">
        <w:rPr>
          <w:rFonts w:hint="cs"/>
          <w:rtl/>
          <w:lang w:bidi="fa-IR"/>
        </w:rPr>
        <w:t>،</w:t>
      </w:r>
      <w:r w:rsidR="0087240C">
        <w:rPr>
          <w:rFonts w:hint="cs"/>
          <w:rtl/>
          <w:lang w:bidi="fa-IR"/>
        </w:rPr>
        <w:t xml:space="preserve"> مکم</w:t>
      </w:r>
      <w:r w:rsidR="00834DFA">
        <w:rPr>
          <w:rFonts w:hint="cs"/>
          <w:rtl/>
          <w:lang w:bidi="fa-IR"/>
        </w:rPr>
        <w:t>ّ</w:t>
      </w:r>
      <w:r w:rsidR="0087240C">
        <w:rPr>
          <w:rFonts w:hint="cs"/>
          <w:rtl/>
          <w:lang w:bidi="fa-IR"/>
        </w:rPr>
        <w:t xml:space="preserve">ل بیان صاحب کفایه است آنجا که </w:t>
      </w:r>
      <w:r w:rsidR="00F615B3">
        <w:rPr>
          <w:rFonts w:hint="cs"/>
          <w:rtl/>
          <w:lang w:bidi="fa-IR"/>
        </w:rPr>
        <w:t>کلام صاحب معالم را توضیح می دهد</w:t>
      </w:r>
      <w:r w:rsidR="00834DFA">
        <w:rPr>
          <w:rFonts w:hint="cs"/>
          <w:rtl/>
          <w:lang w:bidi="fa-IR"/>
        </w:rPr>
        <w:t>؛</w:t>
      </w:r>
      <w:r w:rsidR="008A34B1">
        <w:rPr>
          <w:rStyle w:val="FootnoteReference"/>
          <w:rtl/>
          <w:lang w:bidi="fa-IR"/>
        </w:rPr>
        <w:footnoteReference w:id="1"/>
      </w:r>
      <w:r w:rsidR="00F615B3">
        <w:rPr>
          <w:rFonts w:hint="cs"/>
          <w:rtl/>
          <w:lang w:bidi="fa-IR"/>
        </w:rPr>
        <w:t xml:space="preserve"> و این با فرمایش شیخ در توضیح کلام صاحب معالم </w:t>
      </w:r>
      <w:r w:rsidR="0087240C">
        <w:rPr>
          <w:rFonts w:hint="cs"/>
          <w:rtl/>
          <w:lang w:bidi="fa-IR"/>
        </w:rPr>
        <w:t>سازگاری ندارد و بعبارة أخری</w:t>
      </w:r>
      <w:r w:rsidR="00F615B3">
        <w:rPr>
          <w:rFonts w:hint="cs"/>
          <w:rtl/>
          <w:lang w:bidi="fa-IR"/>
        </w:rPr>
        <w:t xml:space="preserve"> توضیح شیخ</w:t>
      </w:r>
      <w:r w:rsidR="0087240C">
        <w:rPr>
          <w:rFonts w:hint="cs"/>
          <w:rtl/>
          <w:lang w:bidi="fa-IR"/>
        </w:rPr>
        <w:t xml:space="preserve"> برای کلام صاحب معالم،</w:t>
      </w:r>
      <w:r w:rsidR="00F615B3">
        <w:rPr>
          <w:rFonts w:hint="cs"/>
          <w:rtl/>
          <w:lang w:bidi="fa-IR"/>
        </w:rPr>
        <w:t xml:space="preserve"> مطابق با مرام او نیست علاوه بر اینکه از جهت ساختا</w:t>
      </w:r>
      <w:bookmarkStart w:id="0" w:name="_GoBack"/>
      <w:bookmarkEnd w:id="0"/>
      <w:r w:rsidR="00F615B3">
        <w:rPr>
          <w:rFonts w:hint="cs"/>
          <w:rtl/>
          <w:lang w:bidi="fa-IR"/>
        </w:rPr>
        <w:t>ری</w:t>
      </w:r>
      <w:r w:rsidR="00834DFA">
        <w:rPr>
          <w:rFonts w:hint="cs"/>
          <w:rtl/>
          <w:lang w:bidi="fa-IR"/>
        </w:rPr>
        <w:t xml:space="preserve"> نیز</w:t>
      </w:r>
      <w:r w:rsidR="00F615B3">
        <w:rPr>
          <w:rFonts w:hint="cs"/>
          <w:rtl/>
          <w:lang w:bidi="fa-IR"/>
        </w:rPr>
        <w:t xml:space="preserve"> </w:t>
      </w:r>
      <w:r w:rsidR="00BB2BBB">
        <w:rPr>
          <w:rFonts w:hint="cs"/>
          <w:rtl/>
          <w:lang w:bidi="fa-IR"/>
        </w:rPr>
        <w:t>محل</w:t>
      </w:r>
      <w:r w:rsidR="00834DFA">
        <w:rPr>
          <w:rFonts w:hint="cs"/>
          <w:rtl/>
          <w:lang w:bidi="fa-IR"/>
        </w:rPr>
        <w:t>ّ</w:t>
      </w:r>
      <w:r w:rsidR="00BB2BBB">
        <w:rPr>
          <w:rFonts w:hint="cs"/>
          <w:rtl/>
          <w:lang w:bidi="fa-IR"/>
        </w:rPr>
        <w:t xml:space="preserve"> نقد </w:t>
      </w:r>
      <w:r w:rsidR="0087240C">
        <w:rPr>
          <w:rFonts w:hint="cs"/>
          <w:rtl/>
          <w:lang w:bidi="fa-IR"/>
        </w:rPr>
        <w:t>و اشکال است.</w:t>
      </w:r>
      <w:r w:rsidR="002D3CDE">
        <w:rPr>
          <w:rStyle w:val="FootnoteReference"/>
          <w:rtl/>
          <w:lang w:bidi="fa-IR"/>
        </w:rPr>
        <w:footnoteReference w:id="2"/>
      </w:r>
    </w:p>
    <w:p w:rsidR="00BB2BBB" w:rsidRPr="00834DFA" w:rsidRDefault="00BB2BBB" w:rsidP="00BB2BBB">
      <w:pPr>
        <w:bidi/>
        <w:rPr>
          <w:color w:val="FF0000"/>
          <w:rtl/>
          <w:lang w:bidi="fa-IR"/>
        </w:rPr>
      </w:pPr>
      <w:r w:rsidRPr="00834DFA">
        <w:rPr>
          <w:rFonts w:hint="cs"/>
          <w:color w:val="FF0000"/>
          <w:rtl/>
          <w:lang w:bidi="fa-IR"/>
        </w:rPr>
        <w:t>(پایان)</w:t>
      </w:r>
    </w:p>
    <w:sectPr w:rsidR="00BB2BBB" w:rsidRPr="00834DFA" w:rsidSect="0048272C">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6A8" w:rsidRDefault="006436A8" w:rsidP="008A34B1">
      <w:r>
        <w:separator/>
      </w:r>
    </w:p>
  </w:endnote>
  <w:endnote w:type="continuationSeparator" w:id="0">
    <w:p w:rsidR="006436A8" w:rsidRDefault="006436A8" w:rsidP="008A3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6A8" w:rsidRDefault="006436A8" w:rsidP="008A34B1">
      <w:r>
        <w:separator/>
      </w:r>
    </w:p>
  </w:footnote>
  <w:footnote w:type="continuationSeparator" w:id="0">
    <w:p w:rsidR="006436A8" w:rsidRDefault="006436A8" w:rsidP="008A34B1">
      <w:r>
        <w:continuationSeparator/>
      </w:r>
    </w:p>
  </w:footnote>
  <w:footnote w:id="1">
    <w:p w:rsidR="008A34B1" w:rsidRPr="00DD4AEA" w:rsidRDefault="008A34B1" w:rsidP="00DD4AEA">
      <w:pPr>
        <w:pStyle w:val="FootnoteText"/>
        <w:bidi/>
        <w:rPr>
          <w:sz w:val="24"/>
          <w:szCs w:val="24"/>
          <w:rtl/>
          <w:lang w:bidi="fa-IR"/>
        </w:rPr>
      </w:pPr>
      <w:r w:rsidRPr="00DD4AEA">
        <w:rPr>
          <w:rStyle w:val="FootnoteReference"/>
          <w:sz w:val="24"/>
          <w:szCs w:val="24"/>
        </w:rPr>
        <w:footnoteRef/>
      </w:r>
      <w:r w:rsidRPr="00DD4AEA">
        <w:rPr>
          <w:sz w:val="24"/>
          <w:szCs w:val="24"/>
        </w:rPr>
        <w:t xml:space="preserve"> </w:t>
      </w:r>
      <w:r w:rsidRPr="00DD4AEA">
        <w:rPr>
          <w:rFonts w:hint="cs"/>
          <w:sz w:val="24"/>
          <w:szCs w:val="24"/>
          <w:rtl/>
          <w:lang w:bidi="fa-IR"/>
        </w:rPr>
        <w:t xml:space="preserve">. </w:t>
      </w:r>
      <w:r w:rsidRPr="00DD4AEA">
        <w:rPr>
          <w:sz w:val="24"/>
          <w:szCs w:val="24"/>
          <w:rtl/>
          <w:lang w:bidi="fa-IR"/>
        </w:rPr>
        <w:t xml:space="preserve">الثاني </w:t>
      </w:r>
      <w:r w:rsidRPr="00DD4AEA">
        <w:rPr>
          <w:rFonts w:hint="cs"/>
          <w:sz w:val="24"/>
          <w:szCs w:val="24"/>
          <w:rtl/>
          <w:lang w:bidi="fa-IR"/>
        </w:rPr>
        <w:t>-</w:t>
      </w:r>
      <w:r w:rsidRPr="00DD4AEA">
        <w:rPr>
          <w:sz w:val="24"/>
          <w:szCs w:val="24"/>
          <w:rtl/>
          <w:lang w:bidi="fa-IR"/>
        </w:rPr>
        <w:t>اعتبار قصد التوصل في الطهارات و عدمه‏</w:t>
      </w:r>
      <w:r w:rsidRPr="00DD4AEA">
        <w:rPr>
          <w:rFonts w:hint="cs"/>
          <w:sz w:val="24"/>
          <w:szCs w:val="24"/>
          <w:rtl/>
          <w:lang w:bidi="fa-IR"/>
        </w:rPr>
        <w:t xml:space="preserve">-: </w:t>
      </w:r>
      <w:r w:rsidRPr="00DD4AEA">
        <w:rPr>
          <w:sz w:val="24"/>
          <w:szCs w:val="24"/>
          <w:rtl/>
          <w:lang w:bidi="fa-IR"/>
        </w:rPr>
        <w:t>أنه قد انقدح مما هو التحقيق في وجه اعتبار قصد القربة في الطهارات صحتها و لو لم يؤت بها بقصد التوصل بها إلى غاية من غاياتها نعم لو كان المصحح لاعتبار قصد القربة فيها أمرها الغيري لكان قصد الغاية مما لا بد منه في وقوعها صحيحة فإن الأمر الغيري لا يكاد يمتثل إلا إذا قصد</w:t>
      </w:r>
      <w:r w:rsidRPr="00DD4AEA">
        <w:rPr>
          <w:rFonts w:hint="cs"/>
          <w:sz w:val="24"/>
          <w:szCs w:val="24"/>
          <w:rtl/>
          <w:lang w:bidi="fa-IR"/>
        </w:rPr>
        <w:t xml:space="preserve"> الت</w:t>
      </w:r>
      <w:r w:rsidRPr="00DD4AEA">
        <w:rPr>
          <w:sz w:val="24"/>
          <w:szCs w:val="24"/>
          <w:rtl/>
          <w:lang w:bidi="fa-IR"/>
        </w:rPr>
        <w:t>وصل إلى الغير حيث لا يكاد يصير داعيا إلا مع هذا القصد بل في الحقيقة يكون هو الملاك لوقوع المقدمة عبادة و لو لم يقصد أمرها بل و لو لم نقل بتعلق الطلب بها أصلا</w:t>
      </w:r>
      <w:r w:rsidRPr="00DD4AEA">
        <w:rPr>
          <w:sz w:val="24"/>
          <w:szCs w:val="24"/>
          <w:lang w:bidi="fa-IR"/>
        </w:rPr>
        <w:t>.</w:t>
      </w:r>
      <w:r w:rsidRPr="00DD4AEA">
        <w:rPr>
          <w:sz w:val="24"/>
          <w:szCs w:val="24"/>
          <w:rtl/>
          <w:lang w:bidi="fa-IR"/>
        </w:rPr>
        <w:t xml:space="preserve">و هذا هو السر في اعتبار قصد التوصل في وقوع المقدمة عبادة لا ما توهم </w:t>
      </w:r>
      <w:r w:rsidRPr="00DD4AEA">
        <w:rPr>
          <w:rFonts w:hint="cs"/>
          <w:sz w:val="24"/>
          <w:szCs w:val="24"/>
          <w:rtl/>
          <w:lang w:bidi="fa-IR"/>
        </w:rPr>
        <w:t>*</w:t>
      </w:r>
      <w:r w:rsidRPr="00DD4AEA">
        <w:rPr>
          <w:sz w:val="24"/>
          <w:szCs w:val="24"/>
          <w:rtl/>
          <w:lang w:bidi="fa-IR"/>
        </w:rPr>
        <w:t xml:space="preserve"> من أن المقدمة إنما تكون مأمورا بها بعنوان المقدمية فلا بد عند إرادة الامتثال بالمقدمة من قصد هذا العنوان و قصدها كذلك لا يكاد يكون بدون قصد التوصل إلى ذي المقدمة بها فإنه فاسد جدا ضرورة أن عنوان المقدمية ليس بموقوف عليه الواجب و لا بالحمل الشائع مقدمة له و إنما كان المقدمة هو نفس المعنونات بعناوينها الأولية و المقدمية إنما تكون علة لوجوبها. </w:t>
      </w:r>
      <w:r w:rsidRPr="00DD4AEA">
        <w:rPr>
          <w:rFonts w:hint="cs"/>
          <w:sz w:val="24"/>
          <w:szCs w:val="24"/>
          <w:rtl/>
          <w:lang w:bidi="fa-IR"/>
        </w:rPr>
        <w:t>(</w:t>
      </w:r>
      <w:r w:rsidRPr="00DD4AEA">
        <w:rPr>
          <w:sz w:val="24"/>
          <w:szCs w:val="24"/>
          <w:rtl/>
          <w:lang w:bidi="fa-IR"/>
        </w:rPr>
        <w:t>كفاية الأصول ( طبع آل البيت )، ص: 113</w:t>
      </w:r>
      <w:r w:rsidRPr="00DD4AEA">
        <w:rPr>
          <w:rFonts w:hint="cs"/>
          <w:sz w:val="24"/>
          <w:szCs w:val="24"/>
          <w:rtl/>
          <w:lang w:bidi="fa-IR"/>
        </w:rPr>
        <w:t>)</w:t>
      </w:r>
    </w:p>
    <w:p w:rsidR="008A34B1" w:rsidRPr="00DD4AEA" w:rsidRDefault="008A34B1" w:rsidP="00DD4AEA">
      <w:pPr>
        <w:pStyle w:val="FootnoteText"/>
        <w:bidi/>
        <w:rPr>
          <w:sz w:val="24"/>
          <w:szCs w:val="24"/>
          <w:rtl/>
          <w:lang w:bidi="fa-IR"/>
        </w:rPr>
      </w:pPr>
      <w:r w:rsidRPr="00DD4AEA">
        <w:rPr>
          <w:rFonts w:hint="cs"/>
          <w:sz w:val="24"/>
          <w:szCs w:val="24"/>
          <w:rtl/>
          <w:lang w:bidi="fa-IR"/>
        </w:rPr>
        <w:t>*</w:t>
      </w:r>
      <w:r w:rsidRPr="00DD4AEA">
        <w:rPr>
          <w:sz w:val="24"/>
          <w:szCs w:val="24"/>
          <w:rtl/>
          <w:lang w:bidi="fa-IR"/>
        </w:rPr>
        <w:t xml:space="preserve">مطارح الانظار/ </w:t>
      </w:r>
      <w:r w:rsidRPr="00DD4AEA">
        <w:rPr>
          <w:rFonts w:hint="cs"/>
          <w:sz w:val="24"/>
          <w:szCs w:val="24"/>
          <w:rtl/>
          <w:lang w:bidi="fa-IR"/>
        </w:rPr>
        <w:t>72</w:t>
      </w:r>
      <w:r w:rsidRPr="00DD4AEA">
        <w:rPr>
          <w:sz w:val="24"/>
          <w:szCs w:val="24"/>
          <w:rtl/>
          <w:lang w:bidi="fa-IR"/>
        </w:rPr>
        <w:t>، في تنبيهات الهداية 12</w:t>
      </w:r>
      <w:r w:rsidRPr="00DD4AEA">
        <w:rPr>
          <w:sz w:val="24"/>
          <w:szCs w:val="24"/>
          <w:lang w:bidi="fa-IR"/>
        </w:rPr>
        <w:t>.</w:t>
      </w:r>
    </w:p>
  </w:footnote>
  <w:footnote w:id="2">
    <w:p w:rsidR="00DD4AEA" w:rsidRDefault="002D3CDE" w:rsidP="00DD4AEA">
      <w:pPr>
        <w:pStyle w:val="FootnoteText"/>
        <w:bidi/>
        <w:rPr>
          <w:sz w:val="24"/>
          <w:szCs w:val="24"/>
          <w:rtl/>
          <w:lang w:bidi="fa-IR"/>
        </w:rPr>
      </w:pPr>
      <w:r w:rsidRPr="00DD4AEA">
        <w:rPr>
          <w:rStyle w:val="FootnoteReference"/>
          <w:sz w:val="24"/>
          <w:szCs w:val="24"/>
        </w:rPr>
        <w:footnoteRef/>
      </w:r>
      <w:r w:rsidRPr="00DD4AEA">
        <w:rPr>
          <w:sz w:val="24"/>
          <w:szCs w:val="24"/>
        </w:rPr>
        <w:t xml:space="preserve"> </w:t>
      </w:r>
      <w:r w:rsidR="00DD4AEA">
        <w:rPr>
          <w:rFonts w:hint="cs"/>
          <w:sz w:val="24"/>
          <w:szCs w:val="24"/>
          <w:rtl/>
          <w:lang w:bidi="fa-IR"/>
        </w:rPr>
        <w:t xml:space="preserve">. </w:t>
      </w:r>
      <w:r w:rsidR="00DD4AEA">
        <w:rPr>
          <w:sz w:val="24"/>
          <w:szCs w:val="24"/>
          <w:rtl/>
          <w:lang w:bidi="fa-IR"/>
        </w:rPr>
        <w:t>هداية</w:t>
      </w:r>
      <w:r w:rsidR="00DD4AEA">
        <w:rPr>
          <w:rFonts w:hint="cs"/>
          <w:sz w:val="24"/>
          <w:szCs w:val="24"/>
          <w:rtl/>
          <w:lang w:bidi="fa-IR"/>
        </w:rPr>
        <w:t>-</w:t>
      </w:r>
      <w:r w:rsidRPr="00DD4AEA">
        <w:rPr>
          <w:sz w:val="24"/>
          <w:szCs w:val="24"/>
          <w:rtl/>
          <w:lang w:bidi="fa-IR"/>
        </w:rPr>
        <w:t>عدم توقف وجوب الواجب الغيري على إرادة الغير</w:t>
      </w:r>
      <w:r w:rsidR="00DD4AEA">
        <w:rPr>
          <w:rFonts w:hint="cs"/>
          <w:sz w:val="24"/>
          <w:szCs w:val="24"/>
          <w:rtl/>
          <w:lang w:bidi="fa-IR"/>
        </w:rPr>
        <w:t>-</w:t>
      </w:r>
      <w:r w:rsidRPr="00DD4AEA">
        <w:rPr>
          <w:sz w:val="24"/>
          <w:szCs w:val="24"/>
          <w:rtl/>
          <w:lang w:bidi="fa-IR"/>
        </w:rPr>
        <w:t>زعم صاحب المعالم- على ما يوهمه ظاهر عبارته في بحث الضدّ- توقّف وجوب الواجب الغيري على إرادة الغير، و قال: و أيضا فحجّة القول بوجوب المقدّمة على تقدير تسليمها إنّما ينهض دليلا على الوجوب في حال كون المكلّف مريدا للفعل المتوقّف عليها، كما لا</w:t>
      </w:r>
      <w:r w:rsidR="00DD4AEA">
        <w:rPr>
          <w:sz w:val="24"/>
          <w:szCs w:val="24"/>
          <w:rtl/>
          <w:lang w:bidi="fa-IR"/>
        </w:rPr>
        <w:t xml:space="preserve"> يخفى على من أعطاها حقّ النظر</w:t>
      </w:r>
      <w:r w:rsidR="00DD4AEA">
        <w:rPr>
          <w:rFonts w:hint="cs"/>
          <w:sz w:val="24"/>
          <w:szCs w:val="24"/>
          <w:rtl/>
          <w:lang w:bidi="fa-IR"/>
        </w:rPr>
        <w:t>.*</w:t>
      </w:r>
      <w:r w:rsidR="00DD4AEA">
        <w:rPr>
          <w:sz w:val="24"/>
          <w:szCs w:val="24"/>
          <w:rtl/>
          <w:lang w:bidi="fa-IR"/>
        </w:rPr>
        <w:t xml:space="preserve"> </w:t>
      </w:r>
      <w:r w:rsidRPr="00DD4AEA">
        <w:rPr>
          <w:sz w:val="24"/>
          <w:szCs w:val="24"/>
          <w:rtl/>
          <w:lang w:bidi="fa-IR"/>
        </w:rPr>
        <w:t>و بالجملة، فلا إشكال في فساد التوهّم المذكور.</w:t>
      </w:r>
      <w:r w:rsidR="00DD4AEA">
        <w:rPr>
          <w:rFonts w:hint="cs"/>
          <w:sz w:val="24"/>
          <w:szCs w:val="24"/>
          <w:rtl/>
          <w:lang w:bidi="fa-IR"/>
        </w:rPr>
        <w:t xml:space="preserve"> (</w:t>
      </w:r>
      <w:r w:rsidR="00DD4AEA" w:rsidRPr="00DD4AEA">
        <w:rPr>
          <w:sz w:val="24"/>
          <w:szCs w:val="24"/>
          <w:rtl/>
          <w:lang w:bidi="fa-IR"/>
        </w:rPr>
        <w:t>مطارح الأنظار ( طبع جديد )، ج‏1، ص: 353</w:t>
      </w:r>
      <w:r w:rsidR="00DD4AEA">
        <w:rPr>
          <w:rFonts w:hint="cs"/>
          <w:sz w:val="24"/>
          <w:szCs w:val="24"/>
          <w:rtl/>
          <w:lang w:bidi="fa-IR"/>
        </w:rPr>
        <w:t>)</w:t>
      </w:r>
    </w:p>
    <w:p w:rsidR="00DD4AEA" w:rsidRPr="00DD4AEA" w:rsidRDefault="00DD4AEA" w:rsidP="00DD4AEA">
      <w:pPr>
        <w:pStyle w:val="FootnoteText"/>
        <w:bidi/>
        <w:rPr>
          <w:sz w:val="24"/>
          <w:szCs w:val="24"/>
          <w:rtl/>
          <w:lang w:bidi="fa-IR"/>
        </w:rPr>
      </w:pPr>
      <w:r>
        <w:rPr>
          <w:rFonts w:hint="cs"/>
          <w:sz w:val="24"/>
          <w:szCs w:val="24"/>
          <w:rtl/>
          <w:lang w:bidi="fa-IR"/>
        </w:rPr>
        <w:t>*</w:t>
      </w:r>
      <w:r w:rsidRPr="00DD4AEA">
        <w:rPr>
          <w:sz w:val="24"/>
          <w:szCs w:val="24"/>
          <w:rtl/>
          <w:lang w:bidi="fa-IR"/>
        </w:rPr>
        <w:t>معالم الدين: 71.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CDD"/>
    <w:rsid w:val="0006098D"/>
    <w:rsid w:val="000D7128"/>
    <w:rsid w:val="001C3A5C"/>
    <w:rsid w:val="002D3CDE"/>
    <w:rsid w:val="005C2F72"/>
    <w:rsid w:val="006436A8"/>
    <w:rsid w:val="006A4C8A"/>
    <w:rsid w:val="007661DE"/>
    <w:rsid w:val="00834DFA"/>
    <w:rsid w:val="0087240C"/>
    <w:rsid w:val="00892991"/>
    <w:rsid w:val="008A34B1"/>
    <w:rsid w:val="00930E43"/>
    <w:rsid w:val="009D0B06"/>
    <w:rsid w:val="00AB30EA"/>
    <w:rsid w:val="00B57E73"/>
    <w:rsid w:val="00BB2BBB"/>
    <w:rsid w:val="00D9612E"/>
    <w:rsid w:val="00DD4AEA"/>
    <w:rsid w:val="00DF3CDD"/>
    <w:rsid w:val="00F615B3"/>
    <w:rsid w:val="00F942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8A34B1"/>
    <w:rPr>
      <w:sz w:val="20"/>
      <w:szCs w:val="20"/>
    </w:rPr>
  </w:style>
  <w:style w:type="character" w:customStyle="1" w:styleId="FootnoteTextChar">
    <w:name w:val="Footnote Text Char"/>
    <w:basedOn w:val="DefaultParagraphFont"/>
    <w:link w:val="FootnoteText"/>
    <w:uiPriority w:val="99"/>
    <w:semiHidden/>
    <w:rsid w:val="008A34B1"/>
    <w:rPr>
      <w:sz w:val="20"/>
      <w:szCs w:val="20"/>
    </w:rPr>
  </w:style>
  <w:style w:type="character" w:styleId="FootnoteReference">
    <w:name w:val="footnote reference"/>
    <w:basedOn w:val="DefaultParagraphFont"/>
    <w:uiPriority w:val="99"/>
    <w:semiHidden/>
    <w:unhideWhenUsed/>
    <w:rsid w:val="008A34B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0EA"/>
  </w:style>
  <w:style w:type="paragraph" w:styleId="FootnoteText">
    <w:name w:val="footnote text"/>
    <w:basedOn w:val="Normal"/>
    <w:link w:val="FootnoteTextChar"/>
    <w:uiPriority w:val="99"/>
    <w:semiHidden/>
    <w:unhideWhenUsed/>
    <w:rsid w:val="008A34B1"/>
    <w:rPr>
      <w:sz w:val="20"/>
      <w:szCs w:val="20"/>
    </w:rPr>
  </w:style>
  <w:style w:type="character" w:customStyle="1" w:styleId="FootnoteTextChar">
    <w:name w:val="Footnote Text Char"/>
    <w:basedOn w:val="DefaultParagraphFont"/>
    <w:link w:val="FootnoteText"/>
    <w:uiPriority w:val="99"/>
    <w:semiHidden/>
    <w:rsid w:val="008A34B1"/>
    <w:rPr>
      <w:sz w:val="20"/>
      <w:szCs w:val="20"/>
    </w:rPr>
  </w:style>
  <w:style w:type="character" w:styleId="FootnoteReference">
    <w:name w:val="footnote reference"/>
    <w:basedOn w:val="DefaultParagraphFont"/>
    <w:uiPriority w:val="99"/>
    <w:semiHidden/>
    <w:unhideWhenUsed/>
    <w:rsid w:val="008A34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80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19</cp:revision>
  <dcterms:created xsi:type="dcterms:W3CDTF">2019-12-18T04:11:00Z</dcterms:created>
  <dcterms:modified xsi:type="dcterms:W3CDTF">2019-12-21T05:26:00Z</dcterms:modified>
</cp:coreProperties>
</file>